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8303A">
      <w:pPr>
        <w:rPr>
          <w:rFonts w:hint="default" w:ascii="仿宋_GB2312" w:hAnsi="仿宋_GB2312" w:eastAsia="仿宋_GB2312" w:cs="仿宋_GB2312"/>
          <w:sz w:val="24"/>
          <w:lang w:val="en-US" w:eastAsia="zh-CN"/>
        </w:rPr>
      </w:pPr>
      <w:r>
        <w:rPr>
          <w:rFonts w:hint="eastAsia" w:ascii="仿宋_GB2312" w:hAnsi="仿宋_GB2312" w:eastAsia="仿宋_GB2312" w:cs="仿宋_GB2312"/>
          <w:b/>
          <w:sz w:val="24"/>
        </w:rPr>
        <w:t>附件2-1</w:t>
      </w:r>
    </w:p>
    <w:p w14:paraId="727B793F">
      <w:pPr>
        <w:spacing w:line="480" w:lineRule="exact"/>
        <w:jc w:val="center"/>
        <w:rPr>
          <w:rFonts w:ascii="宋体" w:hAnsi="宋体"/>
          <w:b/>
          <w:w w:val="85"/>
          <w:sz w:val="36"/>
          <w:szCs w:val="36"/>
        </w:rPr>
      </w:pPr>
      <w:r>
        <w:rPr>
          <w:rFonts w:hint="eastAsia" w:ascii="宋体" w:hAnsi="宋体"/>
          <w:b/>
          <w:w w:val="85"/>
          <w:sz w:val="36"/>
          <w:szCs w:val="36"/>
          <w:lang w:eastAsia="zh-CN"/>
        </w:rPr>
        <w:t>202</w:t>
      </w:r>
      <w:r>
        <w:rPr>
          <w:rFonts w:hint="eastAsia" w:ascii="宋体" w:hAnsi="宋体"/>
          <w:b/>
          <w:w w:val="85"/>
          <w:sz w:val="36"/>
          <w:szCs w:val="36"/>
          <w:lang w:val="en-US" w:eastAsia="zh-CN"/>
        </w:rPr>
        <w:t>4</w:t>
      </w:r>
      <w:r>
        <w:rPr>
          <w:rFonts w:ascii="宋体" w:hAnsi="宋体"/>
          <w:b/>
          <w:w w:val="85"/>
          <w:sz w:val="36"/>
          <w:szCs w:val="36"/>
        </w:rPr>
        <w:t>年度新晃县项目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0EEA85E7">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655E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0F92FFB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04B340C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2BAEA22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新晃侗族自治县应急局</w:t>
            </w:r>
          </w:p>
        </w:tc>
        <w:tc>
          <w:tcPr>
            <w:tcW w:w="1628" w:type="dxa"/>
            <w:noWrap w:val="0"/>
            <w:tcMar>
              <w:top w:w="0" w:type="dxa"/>
              <w:left w:w="105" w:type="dxa"/>
              <w:bottom w:w="0" w:type="dxa"/>
              <w:right w:w="105" w:type="dxa"/>
            </w:tcMar>
            <w:vAlign w:val="center"/>
          </w:tcPr>
          <w:p w14:paraId="303F9DB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2E2BBC3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其他人员经费</w:t>
            </w:r>
          </w:p>
        </w:tc>
      </w:tr>
      <w:tr w14:paraId="2E6C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7D1CDB0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263861D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31F045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 办公室和财务室</w:t>
            </w:r>
          </w:p>
        </w:tc>
        <w:tc>
          <w:tcPr>
            <w:tcW w:w="1628" w:type="dxa"/>
            <w:noWrap w:val="0"/>
            <w:tcMar>
              <w:top w:w="0" w:type="dxa"/>
              <w:left w:w="105" w:type="dxa"/>
              <w:bottom w:w="0" w:type="dxa"/>
              <w:right w:w="105" w:type="dxa"/>
            </w:tcMar>
            <w:vAlign w:val="center"/>
          </w:tcPr>
          <w:p w14:paraId="1FD67D0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3C14DAE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杨建华</w:t>
            </w:r>
          </w:p>
        </w:tc>
        <w:tc>
          <w:tcPr>
            <w:tcW w:w="1206" w:type="dxa"/>
            <w:noWrap w:val="0"/>
            <w:tcMar>
              <w:top w:w="0" w:type="dxa"/>
              <w:left w:w="105" w:type="dxa"/>
              <w:bottom w:w="0" w:type="dxa"/>
              <w:right w:w="105" w:type="dxa"/>
            </w:tcMar>
            <w:vAlign w:val="center"/>
          </w:tcPr>
          <w:p w14:paraId="434EF3D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18EBCDF0">
            <w:pPr>
              <w:spacing w:line="320" w:lineRule="exact"/>
              <w:jc w:val="center"/>
              <w:rPr>
                <w:rFonts w:hint="default" w:ascii="仿宋_GB2312" w:hAnsi="仿宋_GB2312" w:eastAsia="仿宋_GB2312" w:cs="仿宋_GB2312"/>
                <w:szCs w:val="21"/>
                <w:lang w:val="en-US"/>
              </w:rPr>
            </w:pPr>
            <w:r>
              <w:rPr>
                <w:rFonts w:hint="eastAsia" w:ascii="仿宋_GB2312" w:hAnsi="仿宋_GB2312" w:eastAsia="仿宋_GB2312" w:cs="仿宋_GB2312"/>
                <w:szCs w:val="21"/>
                <w:lang w:val="en-US" w:eastAsia="zh-CN"/>
              </w:rPr>
              <w:t>13874538520</w:t>
            </w:r>
          </w:p>
        </w:tc>
      </w:tr>
      <w:tr w14:paraId="079D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35CFD6E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19C2C9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3C3D3E1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3471D8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3FC627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670B55E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337AA2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3F1D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274B75CB">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19D5F720">
            <w:pPr>
              <w:spacing w:line="320" w:lineRule="exact"/>
              <w:jc w:val="center"/>
              <w:rPr>
                <w:rFonts w:hint="default" w:ascii="仿宋_GB2312" w:hAnsi="仿宋_GB2312" w:eastAsia="仿宋_GB2312" w:cs="仿宋_GB2312"/>
                <w:szCs w:val="21"/>
                <w:lang w:val="en-US" w:eastAsia="zh-CN"/>
              </w:rPr>
            </w:pPr>
          </w:p>
        </w:tc>
        <w:tc>
          <w:tcPr>
            <w:tcW w:w="1800" w:type="dxa"/>
            <w:noWrap w:val="0"/>
            <w:tcMar>
              <w:top w:w="0" w:type="dxa"/>
              <w:left w:w="105" w:type="dxa"/>
              <w:bottom w:w="0" w:type="dxa"/>
              <w:right w:w="105" w:type="dxa"/>
            </w:tcMar>
            <w:vAlign w:val="center"/>
          </w:tcPr>
          <w:p w14:paraId="2690B2B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34.616万元 </w:t>
            </w:r>
          </w:p>
        </w:tc>
        <w:tc>
          <w:tcPr>
            <w:tcW w:w="1628" w:type="dxa"/>
            <w:noWrap w:val="0"/>
            <w:tcMar>
              <w:top w:w="0" w:type="dxa"/>
              <w:left w:w="105" w:type="dxa"/>
              <w:bottom w:w="0" w:type="dxa"/>
              <w:right w:w="105" w:type="dxa"/>
            </w:tcMar>
            <w:vAlign w:val="center"/>
          </w:tcPr>
          <w:p w14:paraId="6FA08A75">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14:paraId="60208E1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26.90602万元 </w:t>
            </w:r>
          </w:p>
        </w:tc>
        <w:tc>
          <w:tcPr>
            <w:tcW w:w="1702" w:type="dxa"/>
            <w:gridSpan w:val="2"/>
            <w:noWrap w:val="0"/>
            <w:tcMar>
              <w:top w:w="0" w:type="dxa"/>
              <w:left w:w="105" w:type="dxa"/>
              <w:bottom w:w="0" w:type="dxa"/>
              <w:right w:w="105" w:type="dxa"/>
            </w:tcMar>
            <w:vAlign w:val="center"/>
          </w:tcPr>
          <w:p w14:paraId="1E53A27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77.73%</w:t>
            </w:r>
          </w:p>
        </w:tc>
      </w:tr>
      <w:tr w14:paraId="35DF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3328E03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190A623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079069A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54C0277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1624A03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B19F1F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32BF5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23064D4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6BC075D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shd w:val="clear" w:color="auto" w:fill="auto"/>
            <w:noWrap w:val="0"/>
            <w:tcMar>
              <w:top w:w="0" w:type="dxa"/>
              <w:left w:w="105" w:type="dxa"/>
              <w:bottom w:w="0" w:type="dxa"/>
              <w:right w:w="105" w:type="dxa"/>
            </w:tcMar>
            <w:vAlign w:val="center"/>
          </w:tcPr>
          <w:p w14:paraId="2D41C9D3">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 xml:space="preserve"> 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70BB380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8D8929F">
            <w:pPr>
              <w:spacing w:line="320" w:lineRule="exact"/>
              <w:jc w:val="center"/>
              <w:rPr>
                <w:rFonts w:hint="eastAsia" w:ascii="仿宋_GB2312" w:hAnsi="仿宋_GB2312" w:eastAsia="仿宋_GB2312" w:cs="仿宋_GB2312"/>
                <w:szCs w:val="21"/>
              </w:rPr>
            </w:pPr>
          </w:p>
        </w:tc>
      </w:tr>
      <w:tr w14:paraId="27A0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33663EF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4D8B124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shd w:val="clear" w:color="auto" w:fill="auto"/>
            <w:noWrap w:val="0"/>
            <w:tcMar>
              <w:top w:w="0" w:type="dxa"/>
              <w:left w:w="105" w:type="dxa"/>
              <w:bottom w:w="0" w:type="dxa"/>
              <w:right w:w="105" w:type="dxa"/>
            </w:tcMar>
            <w:vAlign w:val="center"/>
          </w:tcPr>
          <w:p w14:paraId="75D63BF7">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 xml:space="preserve">  该项目预算执行率为</w:t>
            </w:r>
            <w:r>
              <w:rPr>
                <w:rFonts w:hint="eastAsia" w:ascii="仿宋_GB2312" w:hAnsi="仿宋_GB2312" w:eastAsia="仿宋_GB2312" w:cs="仿宋_GB2312"/>
                <w:szCs w:val="21"/>
                <w:lang w:val="en-US" w:eastAsia="zh-CN"/>
              </w:rPr>
              <w:t>34.616万元</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26.906602万元</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77.73</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51FFA8DE">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w:t>
            </w:r>
          </w:p>
        </w:tc>
        <w:tc>
          <w:tcPr>
            <w:tcW w:w="870" w:type="dxa"/>
            <w:noWrap w:val="0"/>
            <w:tcMar>
              <w:top w:w="0" w:type="dxa"/>
              <w:left w:w="105" w:type="dxa"/>
              <w:bottom w:w="0" w:type="dxa"/>
              <w:right w:w="105" w:type="dxa"/>
            </w:tcMar>
            <w:vAlign w:val="center"/>
          </w:tcPr>
          <w:p w14:paraId="48F75CDA">
            <w:pPr>
              <w:spacing w:line="320" w:lineRule="exact"/>
              <w:jc w:val="center"/>
              <w:rPr>
                <w:rFonts w:hint="eastAsia" w:ascii="仿宋_GB2312" w:hAnsi="仿宋_GB2312" w:eastAsia="仿宋_GB2312" w:cs="仿宋_GB2312"/>
                <w:szCs w:val="21"/>
              </w:rPr>
            </w:pPr>
          </w:p>
        </w:tc>
      </w:tr>
      <w:tr w14:paraId="5DB2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499D818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3F698B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shd w:val="clear" w:color="auto" w:fill="auto"/>
            <w:noWrap w:val="0"/>
            <w:tcMar>
              <w:top w:w="0" w:type="dxa"/>
              <w:left w:w="105" w:type="dxa"/>
              <w:bottom w:w="0" w:type="dxa"/>
              <w:right w:w="105" w:type="dxa"/>
            </w:tcMar>
            <w:vAlign w:val="center"/>
          </w:tcPr>
          <w:p w14:paraId="3D58E2A1">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 xml:space="preserve">  项目建立了专项管理制度，并严格按相关制度执行。专款专用</w:t>
            </w:r>
          </w:p>
        </w:tc>
        <w:tc>
          <w:tcPr>
            <w:tcW w:w="832" w:type="dxa"/>
            <w:noWrap w:val="0"/>
            <w:tcMar>
              <w:top w:w="0" w:type="dxa"/>
              <w:left w:w="105" w:type="dxa"/>
              <w:bottom w:w="0" w:type="dxa"/>
              <w:right w:w="105" w:type="dxa"/>
            </w:tcMar>
            <w:vAlign w:val="center"/>
          </w:tcPr>
          <w:p w14:paraId="30B9FAB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CAF0BB4">
            <w:pPr>
              <w:spacing w:line="320" w:lineRule="exact"/>
              <w:jc w:val="center"/>
              <w:rPr>
                <w:rFonts w:hint="eastAsia" w:ascii="仿宋_GB2312" w:hAnsi="仿宋_GB2312" w:eastAsia="仿宋_GB2312" w:cs="仿宋_GB2312"/>
                <w:szCs w:val="21"/>
              </w:rPr>
            </w:pPr>
          </w:p>
        </w:tc>
      </w:tr>
      <w:tr w14:paraId="035D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6663A9A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29EABAC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58543B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shd w:val="clear" w:color="auto" w:fill="auto"/>
            <w:noWrap w:val="0"/>
            <w:tcMar>
              <w:top w:w="0" w:type="dxa"/>
              <w:left w:w="105" w:type="dxa"/>
              <w:bottom w:w="0" w:type="dxa"/>
              <w:right w:w="105" w:type="dxa"/>
            </w:tcMar>
            <w:vAlign w:val="center"/>
          </w:tcPr>
          <w:p w14:paraId="74D758E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 xml:space="preserve"> 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24B70B0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666663F">
            <w:pPr>
              <w:spacing w:line="320" w:lineRule="exact"/>
              <w:jc w:val="center"/>
              <w:rPr>
                <w:rFonts w:hint="eastAsia" w:ascii="仿宋_GB2312" w:hAnsi="仿宋_GB2312" w:eastAsia="仿宋_GB2312" w:cs="仿宋_GB2312"/>
                <w:szCs w:val="21"/>
              </w:rPr>
            </w:pPr>
          </w:p>
        </w:tc>
      </w:tr>
      <w:tr w14:paraId="7B83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14:paraId="3E11337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14:paraId="0867C13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EB30BFB">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对照项目产出目标明确，按产出</w:t>
            </w:r>
            <w:r>
              <w:rPr>
                <w:rFonts w:hint="eastAsia" w:ascii="仿宋_GB2312" w:hAnsi="仿宋_GB2312" w:eastAsia="仿宋_GB2312" w:cs="仿宋_GB2312"/>
                <w:color w:val="auto"/>
                <w:szCs w:val="21"/>
                <w:lang w:val="en-US" w:eastAsia="zh-CN"/>
              </w:rPr>
              <w:t>10</w:t>
            </w:r>
            <w:r>
              <w:rPr>
                <w:rFonts w:hint="eastAsia" w:ascii="仿宋_GB2312" w:hAnsi="仿宋_GB2312" w:eastAsia="仿宋_GB2312" w:cs="仿宋_GB2312"/>
                <w:color w:val="auto"/>
                <w:szCs w:val="21"/>
              </w:rPr>
              <w:t>户</w:t>
            </w:r>
            <w:r>
              <w:rPr>
                <w:rFonts w:hint="eastAsia" w:ascii="仿宋_GB2312" w:hAnsi="仿宋_GB2312" w:eastAsia="仿宋_GB2312" w:cs="仿宋_GB2312"/>
                <w:color w:val="auto"/>
                <w:szCs w:val="21"/>
                <w:lang w:val="en-US" w:eastAsia="zh-CN"/>
              </w:rPr>
              <w:t>10</w:t>
            </w:r>
            <w:r>
              <w:rPr>
                <w:rFonts w:hint="eastAsia" w:ascii="仿宋_GB2312" w:hAnsi="仿宋_GB2312" w:eastAsia="仿宋_GB2312" w:cs="仿宋_GB2312"/>
                <w:szCs w:val="21"/>
              </w:rPr>
              <w:t>人数量</w:t>
            </w:r>
            <w:r>
              <w:rPr>
                <w:rFonts w:hint="eastAsia" w:ascii="仿宋_GB2312" w:hAnsi="仿宋_GB2312" w:eastAsia="仿宋_GB2312" w:cs="仿宋_GB2312"/>
                <w:szCs w:val="21"/>
                <w:lang w:val="en-US" w:eastAsia="zh-CN"/>
              </w:rPr>
              <w:t>按标准发放</w:t>
            </w:r>
            <w:r>
              <w:rPr>
                <w:rFonts w:hint="eastAsia" w:ascii="仿宋_GB2312" w:hAnsi="仿宋_GB2312" w:eastAsia="仿宋_GB2312" w:cs="仿宋_GB2312"/>
                <w:szCs w:val="21"/>
              </w:rPr>
              <w:t>，产出质量不扩大、时效没及时拨款以及成本控制在预算拨款内。</w:t>
            </w:r>
          </w:p>
        </w:tc>
        <w:tc>
          <w:tcPr>
            <w:tcW w:w="832" w:type="dxa"/>
            <w:noWrap w:val="0"/>
            <w:tcMar>
              <w:top w:w="0" w:type="dxa"/>
              <w:left w:w="105" w:type="dxa"/>
              <w:bottom w:w="0" w:type="dxa"/>
              <w:right w:w="105" w:type="dxa"/>
            </w:tcMar>
            <w:vAlign w:val="center"/>
          </w:tcPr>
          <w:p w14:paraId="0B98608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29</w:t>
            </w:r>
          </w:p>
        </w:tc>
        <w:tc>
          <w:tcPr>
            <w:tcW w:w="870" w:type="dxa"/>
            <w:noWrap w:val="0"/>
            <w:tcMar>
              <w:top w:w="0" w:type="dxa"/>
              <w:left w:w="105" w:type="dxa"/>
              <w:bottom w:w="0" w:type="dxa"/>
              <w:right w:w="105" w:type="dxa"/>
            </w:tcMar>
            <w:vAlign w:val="center"/>
          </w:tcPr>
          <w:p w14:paraId="54948134">
            <w:pPr>
              <w:spacing w:line="320" w:lineRule="exact"/>
              <w:jc w:val="center"/>
              <w:rPr>
                <w:rFonts w:hint="eastAsia" w:ascii="仿宋_GB2312" w:hAnsi="仿宋_GB2312" w:eastAsia="仿宋_GB2312" w:cs="仿宋_GB2312"/>
                <w:szCs w:val="21"/>
              </w:rPr>
            </w:pPr>
          </w:p>
        </w:tc>
      </w:tr>
      <w:tr w14:paraId="2969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trPr>
        <w:tc>
          <w:tcPr>
            <w:tcW w:w="1312" w:type="dxa"/>
            <w:noWrap w:val="0"/>
            <w:tcMar>
              <w:top w:w="0" w:type="dxa"/>
              <w:left w:w="105" w:type="dxa"/>
              <w:bottom w:w="0" w:type="dxa"/>
              <w:right w:w="105" w:type="dxa"/>
            </w:tcMar>
            <w:vAlign w:val="center"/>
          </w:tcPr>
          <w:p w14:paraId="564E105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6A6222C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shd w:val="clear" w:color="auto" w:fill="auto"/>
            <w:noWrap w:val="0"/>
            <w:tcMar>
              <w:top w:w="0" w:type="dxa"/>
              <w:left w:w="105" w:type="dxa"/>
              <w:bottom w:w="0" w:type="dxa"/>
              <w:right w:w="105" w:type="dxa"/>
            </w:tcMar>
            <w:vAlign w:val="center"/>
          </w:tcPr>
          <w:p w14:paraId="6E8C77F1">
            <w:pPr>
              <w:spacing w:line="300" w:lineRule="exact"/>
              <w:ind w:left="1" w:leftChars="0"/>
              <w:rPr>
                <w:rFonts w:hint="default" w:ascii="仿宋_GB2312" w:hAnsi="仿宋_GB2312" w:eastAsia="仿宋_GB2312" w:cs="仿宋_GB2312"/>
                <w:szCs w:val="21"/>
                <w:lang w:val="en-US" w:eastAsia="zh-CN" w:bidi="ar-SA"/>
              </w:rPr>
            </w:pPr>
            <w:r>
              <w:rPr>
                <w:rFonts w:hint="eastAsia" w:ascii="仿宋_GB2312" w:hAnsi="仿宋_GB2312" w:eastAsia="仿宋_GB2312" w:cs="仿宋_GB2312"/>
                <w:szCs w:val="21"/>
              </w:rPr>
              <w:t xml:space="preserve"> 效益目标明确， 经济效益不适用、社会效益特扶家庭住院老有所依、环境效益不适用和可持续影响服务于计划生育特扶家庭住院及服务对象满意度85%以上 。</w:t>
            </w:r>
          </w:p>
        </w:tc>
        <w:tc>
          <w:tcPr>
            <w:tcW w:w="832" w:type="dxa"/>
            <w:noWrap w:val="0"/>
            <w:tcMar>
              <w:top w:w="0" w:type="dxa"/>
              <w:left w:w="105" w:type="dxa"/>
              <w:bottom w:w="0" w:type="dxa"/>
              <w:right w:w="105" w:type="dxa"/>
            </w:tcMar>
            <w:vAlign w:val="center"/>
          </w:tcPr>
          <w:p w14:paraId="6D2C0607">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1944EAFF">
            <w:pPr>
              <w:spacing w:line="320" w:lineRule="exact"/>
              <w:jc w:val="center"/>
              <w:rPr>
                <w:rFonts w:hint="eastAsia" w:ascii="仿宋_GB2312" w:hAnsi="仿宋_GB2312" w:eastAsia="仿宋_GB2312" w:cs="仿宋_GB2312"/>
                <w:szCs w:val="21"/>
              </w:rPr>
            </w:pPr>
          </w:p>
        </w:tc>
      </w:tr>
      <w:tr w14:paraId="340F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1CB8DDB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0081C75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shd w:val="clear" w:color="auto" w:fill="auto"/>
            <w:noWrap w:val="0"/>
            <w:tcMar>
              <w:top w:w="0" w:type="dxa"/>
              <w:left w:w="105" w:type="dxa"/>
              <w:bottom w:w="0" w:type="dxa"/>
              <w:right w:w="105" w:type="dxa"/>
            </w:tcMar>
            <w:vAlign w:val="center"/>
          </w:tcPr>
          <w:p w14:paraId="7391214E">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14:paraId="4618C20F">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14:paraId="5253E04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05DBB69B">
            <w:pPr>
              <w:spacing w:line="320" w:lineRule="exact"/>
              <w:jc w:val="center"/>
              <w:rPr>
                <w:rFonts w:hint="eastAsia" w:ascii="仿宋_GB2312" w:hAnsi="仿宋_GB2312" w:eastAsia="仿宋_GB2312" w:cs="仿宋_GB2312"/>
                <w:szCs w:val="21"/>
              </w:rPr>
            </w:pPr>
          </w:p>
        </w:tc>
      </w:tr>
      <w:tr w14:paraId="5B65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7EEE1F7">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5BFB13E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61F59404">
            <w:pPr>
              <w:spacing w:line="300" w:lineRule="exact"/>
              <w:ind w:left="1" w:leftChars="0"/>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366C535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1320930F">
            <w:pPr>
              <w:spacing w:line="320" w:lineRule="exact"/>
              <w:jc w:val="center"/>
              <w:rPr>
                <w:rFonts w:hint="eastAsia" w:ascii="仿宋_GB2312" w:hAnsi="仿宋_GB2312" w:eastAsia="仿宋_GB2312" w:cs="仿宋_GB2312"/>
                <w:szCs w:val="21"/>
              </w:rPr>
            </w:pPr>
          </w:p>
        </w:tc>
      </w:tr>
      <w:tr w14:paraId="2332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317DE2B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E464F08">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5FDA25F8">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1EA32E3E">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14:paraId="7A766E7D">
            <w:pPr>
              <w:spacing w:line="320" w:lineRule="exact"/>
              <w:jc w:val="center"/>
              <w:rPr>
                <w:rFonts w:hint="eastAsia" w:ascii="仿宋_GB2312" w:hAnsi="仿宋_GB2312" w:eastAsia="仿宋_GB2312" w:cs="仿宋_GB2312"/>
                <w:szCs w:val="21"/>
              </w:rPr>
            </w:pPr>
          </w:p>
        </w:tc>
      </w:tr>
      <w:tr w14:paraId="0AA6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78DCE15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29B0C93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4728F24C">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3549F69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4E8F12BF">
            <w:pPr>
              <w:spacing w:line="320" w:lineRule="exact"/>
              <w:jc w:val="center"/>
              <w:rPr>
                <w:rFonts w:hint="eastAsia" w:ascii="仿宋_GB2312" w:hAnsi="仿宋_GB2312" w:eastAsia="仿宋_GB2312" w:cs="仿宋_GB2312"/>
                <w:szCs w:val="21"/>
              </w:rPr>
            </w:pPr>
          </w:p>
        </w:tc>
      </w:tr>
      <w:tr w14:paraId="3E11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0CFDFC1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0E265C08">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优秀</w:t>
            </w:r>
          </w:p>
        </w:tc>
        <w:tc>
          <w:tcPr>
            <w:tcW w:w="7433" w:type="dxa"/>
            <w:gridSpan w:val="6"/>
            <w:noWrap w:val="0"/>
            <w:tcMar>
              <w:top w:w="0" w:type="dxa"/>
              <w:left w:w="105" w:type="dxa"/>
              <w:bottom w:w="0" w:type="dxa"/>
              <w:right w:w="105" w:type="dxa"/>
            </w:tcMar>
            <w:vAlign w:val="center"/>
          </w:tcPr>
          <w:p w14:paraId="741EAC1E">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DE15CE4">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2D54DE4">
      <w:pPr>
        <w:spacing w:line="320" w:lineRule="exact"/>
        <w:ind w:left="0"/>
        <w:jc w:val="left"/>
        <w:rPr>
          <w:rFonts w:ascii="华文中宋" w:hAnsi="华文中宋" w:eastAsia="华文中宋"/>
          <w:sz w:val="8"/>
          <w:szCs w:val="10"/>
        </w:rPr>
      </w:pPr>
    </w:p>
    <w:p w14:paraId="46816CE6">
      <w:pPr>
        <w:spacing w:line="320" w:lineRule="exact"/>
        <w:ind w:left="0"/>
        <w:jc w:val="left"/>
        <w:rPr>
          <w:rFonts w:ascii="华文中宋" w:hAnsi="华文中宋" w:eastAsia="华文中宋"/>
          <w:szCs w:val="21"/>
        </w:rPr>
      </w:pPr>
      <w:r>
        <w:rPr>
          <w:rFonts w:ascii="华文中宋" w:hAnsi="华文中宋" w:eastAsia="华文中宋"/>
          <w:szCs w:val="21"/>
        </w:rPr>
        <w:t>单位负责人（签字）：</w:t>
      </w:r>
      <w:r>
        <w:rPr>
          <w:rFonts w:hint="eastAsia" w:ascii="华文中宋" w:hAnsi="华文中宋" w:eastAsia="华文中宋"/>
          <w:szCs w:val="21"/>
          <w:lang w:val="en-US" w:eastAsia="zh-CN"/>
        </w:rPr>
        <w:t>朱明</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项目负责人（签字）：</w:t>
      </w:r>
      <w:r>
        <w:rPr>
          <w:rFonts w:hint="eastAsia" w:ascii="华文中宋" w:hAnsi="华文中宋" w:eastAsia="华文中宋"/>
          <w:szCs w:val="21"/>
          <w:lang w:val="en-US" w:eastAsia="zh-CN"/>
        </w:rPr>
        <w:t>杨建华</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填表日期：</w:t>
      </w:r>
      <w:r>
        <w:rPr>
          <w:rFonts w:hint="eastAsia" w:ascii="华文中宋" w:hAnsi="华文中宋" w:eastAsia="华文中宋"/>
          <w:szCs w:val="21"/>
          <w:lang w:val="en-US" w:eastAsia="zh-CN"/>
        </w:rPr>
        <w:t>2025</w:t>
      </w:r>
      <w:r>
        <w:rPr>
          <w:rFonts w:ascii="华文中宋" w:hAnsi="华文中宋" w:eastAsia="华文中宋"/>
          <w:szCs w:val="21"/>
        </w:rPr>
        <w:t>年</w:t>
      </w:r>
      <w:r>
        <w:rPr>
          <w:rFonts w:hint="eastAsia" w:ascii="华文中宋" w:hAnsi="华文中宋" w:eastAsia="华文中宋"/>
          <w:szCs w:val="21"/>
          <w:lang w:val="en-US" w:eastAsia="zh-CN"/>
        </w:rPr>
        <w:t>3</w:t>
      </w:r>
      <w:r>
        <w:rPr>
          <w:rFonts w:ascii="华文中宋" w:hAnsi="华文中宋" w:eastAsia="华文中宋"/>
          <w:szCs w:val="21"/>
        </w:rPr>
        <w:t>月</w:t>
      </w:r>
      <w:r>
        <w:rPr>
          <w:rFonts w:hint="eastAsia" w:ascii="华文中宋" w:hAnsi="华文中宋" w:eastAsia="华文中宋"/>
          <w:szCs w:val="21"/>
          <w:lang w:val="en-US" w:eastAsia="zh-CN"/>
        </w:rPr>
        <w:t>12</w:t>
      </w:r>
      <w:r>
        <w:rPr>
          <w:rFonts w:ascii="华文中宋" w:hAnsi="华文中宋" w:eastAsia="华文中宋"/>
          <w:szCs w:val="21"/>
        </w:rPr>
        <w:t>日</w:t>
      </w:r>
    </w:p>
    <w:p w14:paraId="1B991B51"/>
    <w:p w14:paraId="5F9729C1">
      <w:pPr>
        <w:spacing w:line="600" w:lineRule="exact"/>
        <w:jc w:val="center"/>
        <w:rPr>
          <w:rFonts w:hint="eastAsia" w:ascii="宋体" w:hAnsi="宋体" w:cs="宋体"/>
          <w:bCs/>
          <w:w w:val="85"/>
          <w:sz w:val="52"/>
          <w:szCs w:val="52"/>
        </w:rPr>
      </w:pPr>
      <w:r>
        <w:rPr>
          <w:rFonts w:hint="eastAsia" w:ascii="宋体" w:hAnsi="宋体" w:cs="宋体"/>
          <w:bCs/>
          <w:w w:val="85"/>
          <w:sz w:val="52"/>
          <w:szCs w:val="52"/>
        </w:rPr>
        <w:t>202</w:t>
      </w:r>
      <w:r>
        <w:rPr>
          <w:rFonts w:hint="eastAsia" w:ascii="宋体" w:hAnsi="宋体" w:cs="宋体"/>
          <w:bCs/>
          <w:w w:val="85"/>
          <w:sz w:val="52"/>
          <w:szCs w:val="52"/>
          <w:lang w:val="en-US" w:eastAsia="zh-CN"/>
        </w:rPr>
        <w:t>4</w:t>
      </w:r>
      <w:r>
        <w:rPr>
          <w:rFonts w:hint="eastAsia" w:ascii="宋体" w:hAnsi="宋体" w:cs="宋体"/>
          <w:bCs/>
          <w:w w:val="85"/>
          <w:sz w:val="52"/>
          <w:szCs w:val="52"/>
        </w:rPr>
        <w:t xml:space="preserve">年度新晃县项目支出绩效自评报告 </w:t>
      </w:r>
    </w:p>
    <w:p w14:paraId="152FBDD6">
      <w:pPr>
        <w:spacing w:line="600" w:lineRule="exact"/>
        <w:jc w:val="center"/>
        <w:rPr>
          <w:rFonts w:hint="eastAsia" w:ascii="宋体" w:hAnsi="宋体" w:cs="宋体"/>
          <w:bCs/>
          <w:w w:val="85"/>
          <w:sz w:val="52"/>
          <w:szCs w:val="52"/>
        </w:rPr>
      </w:pPr>
    </w:p>
    <w:p w14:paraId="1BBD7964">
      <w:pPr>
        <w:spacing w:line="600" w:lineRule="exact"/>
        <w:jc w:val="left"/>
        <w:rPr>
          <w:rFonts w:hint="eastAsia" w:ascii="仿宋" w:hAnsi="仿宋" w:eastAsia="仿宋" w:cs="仿宋"/>
          <w:sz w:val="32"/>
          <w:szCs w:val="32"/>
        </w:rPr>
      </w:pPr>
      <w:r>
        <w:rPr>
          <w:rFonts w:hint="eastAsia" w:ascii="仿宋" w:hAnsi="仿宋" w:eastAsia="仿宋" w:cs="仿宋"/>
          <w:sz w:val="32"/>
          <w:szCs w:val="32"/>
        </w:rPr>
        <w:t xml:space="preserve">   根据《新晃侗族自治县关于做好202</w:t>
      </w:r>
      <w:r>
        <w:rPr>
          <w:rFonts w:hint="eastAsia" w:ascii="仿宋" w:hAnsi="仿宋" w:eastAsia="仿宋" w:cs="仿宋"/>
          <w:sz w:val="32"/>
          <w:szCs w:val="32"/>
          <w:lang w:val="en-US" w:eastAsia="zh-CN"/>
        </w:rPr>
        <w:t>4</w:t>
      </w:r>
      <w:r>
        <w:rPr>
          <w:rFonts w:hint="eastAsia" w:ascii="仿宋" w:hAnsi="仿宋" w:eastAsia="仿宋" w:cs="仿宋"/>
          <w:sz w:val="32"/>
          <w:szCs w:val="32"/>
        </w:rPr>
        <w:t>年度部门预算执行绩效自评工作的通知》（晃财绩【202</w:t>
      </w: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号）要求，就做好202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val="en-US" w:eastAsia="zh-CN"/>
        </w:rPr>
        <w:t>应急局</w:t>
      </w:r>
      <w:r>
        <w:rPr>
          <w:rFonts w:hint="eastAsia" w:ascii="仿宋" w:hAnsi="仿宋" w:eastAsia="仿宋" w:cs="仿宋"/>
          <w:sz w:val="32"/>
          <w:szCs w:val="32"/>
        </w:rPr>
        <w:t xml:space="preserve"> 项目资金绩效评价工作有关事项的通知，我县对202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val="en-US" w:eastAsia="zh-CN"/>
        </w:rPr>
        <w:t>应急局</w:t>
      </w:r>
      <w:r>
        <w:rPr>
          <w:rFonts w:hint="eastAsia" w:ascii="仿宋" w:hAnsi="仿宋" w:eastAsia="仿宋" w:cs="仿宋"/>
          <w:sz w:val="32"/>
          <w:szCs w:val="32"/>
        </w:rPr>
        <w:t>专项资金管理使用进行自评，现报告如下：</w:t>
      </w:r>
    </w:p>
    <w:p w14:paraId="4AFE987F">
      <w:pPr>
        <w:pStyle w:val="2"/>
        <w:widowControl w:val="0"/>
        <w:spacing w:before="0" w:beforeAutospacing="0" w:after="0" w:afterAutospacing="0" w:line="600" w:lineRule="exact"/>
        <w:ind w:firstLine="630" w:firstLineChars="196"/>
        <w:rPr>
          <w:rFonts w:hint="eastAsia" w:ascii="仿宋" w:hAnsi="仿宋" w:eastAsia="仿宋" w:cs="仿宋"/>
          <w:b/>
          <w:sz w:val="32"/>
          <w:szCs w:val="32"/>
        </w:rPr>
      </w:pPr>
      <w:r>
        <w:rPr>
          <w:rFonts w:hint="eastAsia" w:ascii="仿宋" w:hAnsi="仿宋" w:eastAsia="仿宋" w:cs="仿宋"/>
          <w:b/>
          <w:sz w:val="32"/>
          <w:szCs w:val="32"/>
        </w:rPr>
        <w:t>一、项目概况</w:t>
      </w:r>
    </w:p>
    <w:p w14:paraId="4ECDBDA2">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项目基本情况：</w:t>
      </w:r>
      <w:r>
        <w:rPr>
          <w:rFonts w:hint="eastAsia" w:ascii="仿宋" w:hAnsi="仿宋" w:eastAsia="仿宋" w:cs="仿宋"/>
          <w:sz w:val="32"/>
          <w:szCs w:val="32"/>
          <w:lang w:val="en-US" w:eastAsia="zh-CN"/>
        </w:rPr>
        <w:t>其他人员补助（独生子女奖励金、遗补、临聘人员、津贴补贴人数）</w:t>
      </w:r>
      <w:r>
        <w:rPr>
          <w:rFonts w:hint="eastAsia" w:ascii="仿宋" w:hAnsi="仿宋" w:eastAsia="仿宋" w:cs="仿宋"/>
          <w:sz w:val="32"/>
          <w:szCs w:val="32"/>
        </w:rPr>
        <w:t>。</w:t>
      </w:r>
    </w:p>
    <w:p w14:paraId="2CA2750C">
      <w:pPr>
        <w:spacing w:line="580" w:lineRule="exact"/>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其他人员补助</w:t>
      </w:r>
      <w:r>
        <w:rPr>
          <w:rFonts w:hint="eastAsia" w:ascii="仿宋" w:hAnsi="仿宋" w:eastAsia="仿宋" w:cs="仿宋"/>
          <w:sz w:val="32"/>
          <w:szCs w:val="32"/>
        </w:rPr>
        <w:t>项目</w:t>
      </w:r>
      <w:r>
        <w:rPr>
          <w:rFonts w:hint="eastAsia" w:ascii="仿宋" w:hAnsi="仿宋" w:eastAsia="仿宋" w:cs="仿宋"/>
          <w:sz w:val="32"/>
          <w:szCs w:val="32"/>
          <w:lang w:val="en-US" w:eastAsia="zh-CN"/>
        </w:rPr>
        <w:t>34.616</w:t>
      </w:r>
      <w:r>
        <w:rPr>
          <w:rFonts w:hint="eastAsia" w:ascii="仿宋" w:hAnsi="仿宋" w:eastAsia="仿宋" w:cs="仿宋"/>
          <w:sz w:val="32"/>
          <w:szCs w:val="32"/>
        </w:rPr>
        <w:t>万元，实际补贴</w:t>
      </w:r>
      <w:r>
        <w:rPr>
          <w:rFonts w:hint="eastAsia" w:ascii="仿宋" w:hAnsi="仿宋" w:eastAsia="仿宋" w:cs="仿宋"/>
          <w:sz w:val="32"/>
          <w:szCs w:val="32"/>
          <w:lang w:val="en-US" w:eastAsia="zh-CN"/>
        </w:rPr>
        <w:t>26.90602</w:t>
      </w:r>
      <w:r>
        <w:rPr>
          <w:rFonts w:hint="eastAsia" w:ascii="仿宋" w:hAnsi="仿宋" w:eastAsia="仿宋" w:cs="仿宋"/>
          <w:sz w:val="32"/>
          <w:szCs w:val="32"/>
        </w:rPr>
        <w:t>万元。</w:t>
      </w:r>
      <w:r>
        <w:rPr>
          <w:rFonts w:hint="eastAsia" w:ascii="仿宋" w:hAnsi="仿宋" w:eastAsia="仿宋" w:cs="仿宋"/>
          <w:sz w:val="32"/>
          <w:szCs w:val="32"/>
          <w:lang w:val="en-US" w:eastAsia="zh-CN"/>
        </w:rPr>
        <w:t>应急局无遗补人员。</w:t>
      </w:r>
    </w:p>
    <w:p w14:paraId="5AF7C6EA">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项目绩效目标：</w:t>
      </w:r>
      <w:r>
        <w:rPr>
          <w:rFonts w:hint="eastAsia" w:ascii="仿宋" w:hAnsi="仿宋" w:eastAsia="仿宋" w:cs="仿宋"/>
          <w:sz w:val="32"/>
          <w:szCs w:val="32"/>
          <w:lang w:val="en-US" w:eastAsia="zh-CN"/>
        </w:rPr>
        <w:t>其他人员补助</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年项目</w:t>
      </w:r>
      <w:r>
        <w:rPr>
          <w:rFonts w:hint="eastAsia" w:ascii="仿宋" w:hAnsi="仿宋" w:eastAsia="仿宋" w:cs="仿宋"/>
          <w:sz w:val="32"/>
          <w:szCs w:val="32"/>
          <w:lang w:val="en-US" w:eastAsia="zh-CN"/>
        </w:rPr>
        <w:t>独生子女奖励金、遗补、临聘人员、津贴补贴</w:t>
      </w:r>
      <w:r>
        <w:rPr>
          <w:rFonts w:hint="eastAsia" w:ascii="仿宋" w:hAnsi="仿宋" w:eastAsia="仿宋" w:cs="仿宋"/>
          <w:sz w:val="32"/>
          <w:szCs w:val="32"/>
        </w:rPr>
        <w:t>人群（截止202</w:t>
      </w:r>
      <w:r>
        <w:rPr>
          <w:rFonts w:hint="eastAsia" w:ascii="仿宋" w:hAnsi="仿宋" w:eastAsia="仿宋" w:cs="仿宋"/>
          <w:sz w:val="32"/>
          <w:szCs w:val="32"/>
          <w:lang w:val="en-US" w:eastAsia="zh-CN"/>
        </w:rPr>
        <w:t>4</w:t>
      </w:r>
      <w:r>
        <w:rPr>
          <w:rFonts w:hint="eastAsia" w:ascii="仿宋" w:hAnsi="仿宋" w:eastAsia="仿宋" w:cs="仿宋"/>
          <w:sz w:val="32"/>
          <w:szCs w:val="32"/>
        </w:rPr>
        <w:t>年12月，</w:t>
      </w:r>
      <w:r>
        <w:rPr>
          <w:rFonts w:hint="eastAsia" w:ascii="仿宋" w:hAnsi="仿宋" w:eastAsia="仿宋" w:cs="仿宋"/>
          <w:sz w:val="32"/>
          <w:szCs w:val="32"/>
          <w:lang w:val="en-US" w:eastAsia="zh-CN"/>
        </w:rPr>
        <w:t>10</w:t>
      </w:r>
      <w:r>
        <w:rPr>
          <w:rFonts w:hint="eastAsia" w:ascii="仿宋" w:hAnsi="仿宋" w:eastAsia="仿宋" w:cs="仿宋"/>
          <w:sz w:val="32"/>
          <w:szCs w:val="32"/>
        </w:rPr>
        <w:t>人次）。确保</w:t>
      </w:r>
      <w:r>
        <w:rPr>
          <w:rFonts w:hint="eastAsia" w:ascii="仿宋" w:hAnsi="仿宋" w:eastAsia="仿宋" w:cs="仿宋"/>
          <w:sz w:val="32"/>
          <w:szCs w:val="32"/>
          <w:lang w:val="en-US" w:eastAsia="zh-CN"/>
        </w:rPr>
        <w:t>独生子女奖励金、遗补、临聘人员、津贴补贴</w:t>
      </w:r>
      <w:r>
        <w:rPr>
          <w:rFonts w:hint="eastAsia" w:ascii="仿宋" w:hAnsi="仿宋" w:eastAsia="仿宋" w:cs="仿宋"/>
          <w:sz w:val="32"/>
          <w:szCs w:val="32"/>
        </w:rPr>
        <w:t>人群按规定得到</w:t>
      </w:r>
      <w:r>
        <w:rPr>
          <w:rFonts w:hint="eastAsia" w:ascii="仿宋" w:hAnsi="仿宋" w:eastAsia="仿宋" w:cs="仿宋"/>
          <w:sz w:val="32"/>
          <w:szCs w:val="32"/>
          <w:lang w:val="en-US" w:eastAsia="zh-CN"/>
        </w:rPr>
        <w:t>补助</w:t>
      </w:r>
      <w:r>
        <w:rPr>
          <w:rFonts w:hint="eastAsia" w:ascii="仿宋" w:hAnsi="仿宋" w:eastAsia="仿宋" w:cs="仿宋"/>
          <w:sz w:val="32"/>
          <w:szCs w:val="32"/>
        </w:rPr>
        <w:t>。</w:t>
      </w:r>
    </w:p>
    <w:p w14:paraId="44926E49">
      <w:pPr>
        <w:spacing w:line="580" w:lineRule="exact"/>
        <w:ind w:firstLine="640" w:firstLineChars="200"/>
        <w:rPr>
          <w:rFonts w:hint="eastAsia" w:ascii="仿宋" w:hAnsi="仿宋" w:eastAsia="仿宋" w:cs="仿宋"/>
          <w:sz w:val="32"/>
          <w:szCs w:val="32"/>
        </w:rPr>
      </w:pPr>
    </w:p>
    <w:p w14:paraId="58C98B12">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二、绩效评价工作开展情况</w:t>
      </w:r>
    </w:p>
    <w:p w14:paraId="577CF4AA">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（一）绩效评价的目的、对象和范围</w:t>
      </w:r>
    </w:p>
    <w:p w14:paraId="62EED8C1">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（1）严格执行《预算法》，强化支出责任，提高项目资金使用效益，对项目支出情况开展绩效评价，践行“花钱必问效、无效必问责”。</w:t>
      </w:r>
    </w:p>
    <w:p w14:paraId="07B3242C">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14:paraId="16E6EEA8">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（3）促使项目承担科室及项目分管领导，对绩效评价中发现的问题，认真整改，及时调整和完善单位的工作计划和绩效目标，提高管理水平，同时为项目后续资金投入、分配和管理提供决策依据。</w:t>
      </w:r>
    </w:p>
    <w:p w14:paraId="4730BA0F">
      <w:pPr>
        <w:spacing w:line="560" w:lineRule="exact"/>
        <w:ind w:left="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新晃县</w:t>
      </w:r>
      <w:r>
        <w:rPr>
          <w:rFonts w:hint="eastAsia" w:ascii="仿宋" w:hAnsi="仿宋" w:eastAsia="仿宋" w:cs="仿宋"/>
          <w:sz w:val="32"/>
          <w:szCs w:val="32"/>
          <w:lang w:val="en-US" w:eastAsia="zh-CN"/>
        </w:rPr>
        <w:t xml:space="preserve">应急局独生子女奖励金、遗补、临聘人员、津贴补贴人数10人34.616万元， </w:t>
      </w:r>
      <w:r>
        <w:rPr>
          <w:rFonts w:hint="eastAsia" w:ascii="仿宋" w:hAnsi="仿宋" w:eastAsia="仿宋" w:cs="仿宋"/>
          <w:sz w:val="32"/>
          <w:szCs w:val="32"/>
        </w:rPr>
        <w:t>项目绩效</w:t>
      </w:r>
      <w:r>
        <w:rPr>
          <w:rFonts w:hint="eastAsia" w:ascii="仿宋_GB2312" w:eastAsia="仿宋_GB2312"/>
          <w:sz w:val="32"/>
          <w:szCs w:val="32"/>
        </w:rPr>
        <w:t>评分表自评得分</w:t>
      </w:r>
      <w:r>
        <w:rPr>
          <w:rFonts w:hint="eastAsia" w:ascii="仿宋_GB2312" w:eastAsia="仿宋_GB2312"/>
          <w:sz w:val="32"/>
          <w:szCs w:val="32"/>
          <w:lang w:val="en-US" w:eastAsia="zh-CN"/>
        </w:rPr>
        <w:t>97</w:t>
      </w:r>
      <w:r>
        <w:rPr>
          <w:rFonts w:hint="eastAsia" w:ascii="仿宋_GB2312" w:eastAsia="仿宋_GB2312"/>
          <w:sz w:val="32"/>
          <w:szCs w:val="32"/>
        </w:rPr>
        <w:t>分。</w:t>
      </w:r>
    </w:p>
    <w:p w14:paraId="795941A9">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（二）绩效评价原则、评价指标体系（付表说明）、评价方法、评价标准等。</w:t>
      </w:r>
    </w:p>
    <w:p w14:paraId="1B52566B">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14:paraId="7BFC7B98">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（2）统筹兼顾。单位自评、部门评价和财政评价应职责明确，各有侧重，相互衔接。单位自评应由项目单位自助实施，即“谁支出、谁自评”。部门评价和财政评价应在单位自评的基础上开展。</w:t>
      </w:r>
    </w:p>
    <w:p w14:paraId="2C024C67">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14:paraId="6C0CE1A6">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（4）公开透明。绩效评价结果应依法依归公开，并自觉接受社会监督。</w:t>
      </w:r>
    </w:p>
    <w:p w14:paraId="73EA4C60">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（三）绩效评价过程</w:t>
      </w:r>
    </w:p>
    <w:p w14:paraId="6C2B05C0">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（1）成立绩效评价小组；</w:t>
      </w:r>
    </w:p>
    <w:p w14:paraId="01909BB3">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（2）组织相关人员进行培训；</w:t>
      </w:r>
    </w:p>
    <w:p w14:paraId="73183A3E">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（3）收集相关资料；</w:t>
      </w:r>
    </w:p>
    <w:p w14:paraId="28D422CC">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（4）分析资料、汇总评价数据；</w:t>
      </w:r>
    </w:p>
    <w:p w14:paraId="09B9723E">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（5）填写项目支出绩效单位自评表，撰写绩效自评报告。</w:t>
      </w:r>
    </w:p>
    <w:p w14:paraId="005C32CF">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三、综合评价及评价结论</w:t>
      </w:r>
    </w:p>
    <w:p w14:paraId="0CDF29BF">
      <w:pPr>
        <w:spacing w:line="560" w:lineRule="exact"/>
        <w:ind w:left="0" w:firstLine="800" w:firstLineChars="25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该项目目前已完成总体进度100%，。完成率</w:t>
      </w:r>
      <w:r>
        <w:rPr>
          <w:rFonts w:hint="eastAsia" w:ascii="仿宋_GB2312" w:hAnsi="仿宋_GB2312" w:eastAsia="仿宋_GB2312" w:cs="仿宋_GB2312"/>
          <w:sz w:val="32"/>
          <w:szCs w:val="32"/>
          <w:lang w:val="en-US" w:eastAsia="zh-CN"/>
        </w:rPr>
        <w:t>77.73</w:t>
      </w:r>
      <w:r>
        <w:rPr>
          <w:rFonts w:hint="eastAsia" w:ascii="仿宋_GB2312" w:hAnsi="仿宋_GB2312" w:eastAsia="仿宋_GB2312" w:cs="仿宋_GB2312"/>
          <w:sz w:val="32"/>
          <w:szCs w:val="32"/>
        </w:rPr>
        <w:t>%，</w:t>
      </w:r>
      <w:r>
        <w:rPr>
          <w:rFonts w:hint="eastAsia" w:ascii="仿宋" w:hAnsi="仿宋" w:eastAsia="仿宋" w:cs="仿宋"/>
          <w:sz w:val="32"/>
          <w:szCs w:val="32"/>
        </w:rPr>
        <w:t xml:space="preserve"> 服务于</w:t>
      </w:r>
      <w:r>
        <w:rPr>
          <w:rFonts w:hint="eastAsia" w:ascii="仿宋" w:hAnsi="仿宋" w:eastAsia="仿宋" w:cs="仿宋"/>
          <w:sz w:val="32"/>
          <w:szCs w:val="32"/>
          <w:lang w:val="en-US" w:eastAsia="zh-CN"/>
        </w:rPr>
        <w:t>独生子女奖励金、遗补、临聘人员、津贴补贴</w:t>
      </w:r>
      <w:r>
        <w:rPr>
          <w:rFonts w:hint="eastAsia" w:ascii="仿宋" w:hAnsi="仿宋" w:eastAsia="仿宋" w:cs="仿宋"/>
          <w:sz w:val="32"/>
          <w:szCs w:val="32"/>
        </w:rPr>
        <w:t>服务对象满意度</w:t>
      </w:r>
      <w:r>
        <w:rPr>
          <w:rFonts w:hint="eastAsia" w:ascii="仿宋" w:hAnsi="仿宋" w:eastAsia="仿宋" w:cs="仿宋"/>
          <w:sz w:val="32"/>
          <w:szCs w:val="32"/>
          <w:lang w:val="en-US" w:eastAsia="zh-CN"/>
        </w:rPr>
        <w:t>85</w:t>
      </w:r>
      <w:r>
        <w:rPr>
          <w:rFonts w:hint="eastAsia" w:ascii="仿宋" w:hAnsi="仿宋" w:eastAsia="仿宋" w:cs="仿宋"/>
          <w:sz w:val="32"/>
          <w:szCs w:val="32"/>
        </w:rPr>
        <w:t>%以</w:t>
      </w:r>
      <w:r>
        <w:rPr>
          <w:rFonts w:hint="eastAsia" w:ascii="仿宋" w:hAnsi="仿宋" w:eastAsia="仿宋" w:cs="仿宋"/>
          <w:sz w:val="32"/>
          <w:szCs w:val="32"/>
          <w:lang w:val="en-US" w:eastAsia="zh-CN"/>
        </w:rPr>
        <w:t>上，</w:t>
      </w:r>
      <w:r>
        <w:rPr>
          <w:rFonts w:hint="eastAsia" w:ascii="仿宋" w:hAnsi="仿宋" w:eastAsia="仿宋" w:cs="仿宋"/>
          <w:sz w:val="32"/>
          <w:szCs w:val="32"/>
        </w:rPr>
        <w:t>项目绩效</w:t>
      </w:r>
      <w:r>
        <w:rPr>
          <w:rFonts w:hint="eastAsia" w:ascii="仿宋_GB2312" w:eastAsia="仿宋_GB2312"/>
          <w:sz w:val="32"/>
          <w:szCs w:val="32"/>
        </w:rPr>
        <w:t>评分表自评得分</w:t>
      </w:r>
      <w:r>
        <w:rPr>
          <w:rFonts w:hint="eastAsia" w:ascii="仿宋_GB2312" w:eastAsia="仿宋_GB2312"/>
          <w:sz w:val="32"/>
          <w:szCs w:val="32"/>
          <w:lang w:val="en-US" w:eastAsia="zh-CN"/>
        </w:rPr>
        <w:t>97</w:t>
      </w:r>
      <w:r>
        <w:rPr>
          <w:rFonts w:hint="eastAsia" w:ascii="仿宋_GB2312" w:eastAsia="仿宋_GB2312"/>
          <w:sz w:val="32"/>
          <w:szCs w:val="32"/>
        </w:rPr>
        <w:t>分；</w:t>
      </w:r>
      <w:r>
        <w:rPr>
          <w:rFonts w:hint="eastAsia" w:ascii="仿宋" w:hAnsi="仿宋" w:eastAsia="仿宋" w:cs="仿宋"/>
          <w:sz w:val="32"/>
          <w:szCs w:val="32"/>
        </w:rPr>
        <w:t>评价结果“优秀” 。</w:t>
      </w:r>
    </w:p>
    <w:p w14:paraId="1DB523B4">
      <w:pPr>
        <w:spacing w:line="560" w:lineRule="exact"/>
        <w:ind w:left="0" w:firstLine="640" w:firstLineChars="200"/>
        <w:jc w:val="left"/>
        <w:textAlignment w:val="auto"/>
        <w:rPr>
          <w:rFonts w:hint="eastAsia" w:ascii="黑体" w:hAnsi="黑体" w:eastAsia="黑体" w:cs="黑体"/>
          <w:bCs/>
          <w:sz w:val="32"/>
          <w:szCs w:val="32"/>
        </w:rPr>
      </w:pPr>
      <w:r>
        <w:rPr>
          <w:rFonts w:hint="eastAsia" w:ascii="黑体" w:hAnsi="黑体" w:eastAsia="黑体" w:cs="黑体"/>
          <w:bCs/>
          <w:sz w:val="32"/>
          <w:szCs w:val="32"/>
        </w:rPr>
        <w:t>四、绩效评价指标分析</w:t>
      </w:r>
    </w:p>
    <w:p w14:paraId="5EF7C25E">
      <w:pPr>
        <w:spacing w:line="560" w:lineRule="exact"/>
        <w:ind w:left="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（一）项目决策情况</w:t>
      </w:r>
    </w:p>
    <w:p w14:paraId="6590AC24">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
          <w:color w:val="555555"/>
          <w:sz w:val="32"/>
          <w:szCs w:val="32"/>
        </w:rPr>
        <w:t>1、</w:t>
      </w:r>
      <w:r>
        <w:rPr>
          <w:rFonts w:hint="eastAsia" w:ascii="仿宋_GB2312" w:hAnsi="仿宋_GB2312" w:eastAsia="仿宋_GB2312" w:cs="仿宋_GB2312"/>
          <w:sz w:val="32"/>
          <w:szCs w:val="32"/>
          <w:lang w:val="en-US" w:eastAsia="zh-CN"/>
        </w:rPr>
        <w:t xml:space="preserve"> 退休人员</w:t>
      </w:r>
      <w:r>
        <w:rPr>
          <w:rFonts w:hint="eastAsia" w:ascii="仿宋" w:hAnsi="仿宋" w:eastAsia="仿宋" w:cs="仿宋"/>
          <w:sz w:val="32"/>
          <w:szCs w:val="32"/>
          <w:lang w:val="en-US" w:eastAsia="zh-CN"/>
        </w:rPr>
        <w:t>独生子女奖励金、遗补、临聘人员、津贴补贴</w:t>
      </w:r>
      <w:r>
        <w:rPr>
          <w:rFonts w:hint="eastAsia" w:ascii="仿宋_GB2312" w:hAnsi="仿宋_GB2312" w:eastAsia="仿宋_GB2312" w:cs="仿宋_GB2312"/>
          <w:sz w:val="32"/>
          <w:szCs w:val="32"/>
          <w:lang w:val="en-US" w:eastAsia="zh-CN"/>
        </w:rPr>
        <w:t>补助</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实行统一部署，统一调度，统一考评，为强化专项资金管理，制定了财务管理制度，明确资金申报、审核、下拨程序和职责。后期做到项目的时时追踪、督查，使项目效益能达到最大化</w:t>
      </w:r>
      <w:r>
        <w:rPr>
          <w:rFonts w:hint="eastAsia" w:ascii="仿宋_GB2312" w:hAnsi="仿宋_GB2312" w:eastAsia="仿宋_GB2312" w:cs="仿宋_GB2312"/>
          <w:sz w:val="32"/>
          <w:szCs w:val="32"/>
        </w:rPr>
        <w:t>。</w:t>
      </w:r>
    </w:p>
    <w:p w14:paraId="22932C57">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（二）项目产出过程</w:t>
      </w:r>
    </w:p>
    <w:p w14:paraId="50F4DFE1">
      <w:pPr>
        <w:spacing w:line="560" w:lineRule="exact"/>
        <w:ind w:left="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年必须坚持“</w:t>
      </w:r>
      <w:r>
        <w:rPr>
          <w:rFonts w:hint="eastAsia" w:ascii="仿宋_GB2312" w:hAnsi="仿宋_GB2312" w:eastAsia="仿宋_GB2312" w:cs="仿宋_GB2312"/>
          <w:sz w:val="32"/>
          <w:szCs w:val="32"/>
          <w:lang w:val="en-US" w:eastAsia="zh-CN"/>
        </w:rPr>
        <w:t>按人事局和组织部审核的退休审批表</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到按卫健局</w:t>
      </w:r>
      <w:r>
        <w:rPr>
          <w:rFonts w:hint="eastAsia" w:ascii="仿宋_GB2312" w:hAnsi="仿宋_GB2312" w:eastAsia="仿宋_GB2312" w:cs="仿宋_GB2312"/>
          <w:sz w:val="32"/>
          <w:szCs w:val="32"/>
        </w:rPr>
        <w:t>申报审批步骤，每人每年不超过</w:t>
      </w:r>
      <w:r>
        <w:rPr>
          <w:rFonts w:hint="eastAsia" w:ascii="仿宋_GB2312" w:hAnsi="仿宋_GB2312" w:eastAsia="仿宋_GB2312" w:cs="仿宋_GB2312"/>
          <w:sz w:val="32"/>
          <w:szCs w:val="32"/>
          <w:lang w:val="en-US" w:eastAsia="zh-CN"/>
        </w:rPr>
        <w:t>0.096万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lang w:val="en-US" w:eastAsia="zh-CN"/>
        </w:rPr>
        <w:t>临聘人员工资按合同支付和应急局的工作人员每月补津贴补贴按文件要求按标准发放到位。</w:t>
      </w:r>
    </w:p>
    <w:p w14:paraId="23318815">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3CA0ED73">
      <w:pPr>
        <w:spacing w:line="580" w:lineRule="exact"/>
        <w:ind w:firstLine="640" w:firstLineChars="200"/>
        <w:rPr>
          <w:rFonts w:hint="eastAsia" w:ascii="仿宋" w:hAnsi="仿宋" w:eastAsia="仿宋" w:cs="仿宋"/>
          <w:color w:val="000000"/>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
          <w:color w:val="000000"/>
          <w:sz w:val="32"/>
          <w:szCs w:val="32"/>
        </w:rPr>
        <w:t>根据</w:t>
      </w:r>
      <w:r>
        <w:rPr>
          <w:rFonts w:hint="eastAsia" w:ascii="仿宋" w:hAnsi="仿宋" w:eastAsia="仿宋" w:cs="仿宋"/>
          <w:color w:val="000000"/>
          <w:sz w:val="32"/>
          <w:szCs w:val="32"/>
          <w:lang w:val="en-US" w:eastAsia="zh-CN"/>
        </w:rPr>
        <w:t>县文件</w:t>
      </w:r>
      <w:r>
        <w:rPr>
          <w:rFonts w:hint="eastAsia" w:ascii="仿宋" w:hAnsi="仿宋" w:eastAsia="仿宋" w:cs="仿宋"/>
          <w:color w:val="000000"/>
          <w:sz w:val="32"/>
          <w:szCs w:val="32"/>
        </w:rPr>
        <w:t>精神，我县为解决</w:t>
      </w:r>
      <w:r>
        <w:rPr>
          <w:rFonts w:hint="eastAsia" w:ascii="仿宋" w:hAnsi="仿宋" w:eastAsia="仿宋" w:cs="仿宋"/>
          <w:color w:val="000000"/>
          <w:sz w:val="32"/>
          <w:szCs w:val="32"/>
          <w:lang w:val="en-US" w:eastAsia="zh-CN"/>
        </w:rPr>
        <w:t xml:space="preserve">退休人员、临聘人员生活保障， </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年我</w:t>
      </w:r>
      <w:r>
        <w:rPr>
          <w:rFonts w:hint="eastAsia" w:ascii="仿宋" w:hAnsi="仿宋" w:eastAsia="仿宋" w:cs="仿宋"/>
          <w:color w:val="000000"/>
          <w:sz w:val="32"/>
          <w:szCs w:val="32"/>
          <w:lang w:val="en-US" w:eastAsia="zh-CN"/>
        </w:rPr>
        <w:t>局</w:t>
      </w:r>
      <w:r>
        <w:rPr>
          <w:rFonts w:hint="eastAsia" w:ascii="仿宋" w:hAnsi="仿宋" w:eastAsia="仿宋" w:cs="仿宋"/>
          <w:color w:val="000000"/>
          <w:sz w:val="32"/>
          <w:szCs w:val="32"/>
        </w:rPr>
        <w:t>共</w:t>
      </w:r>
      <w:r>
        <w:rPr>
          <w:rFonts w:hint="eastAsia" w:ascii="仿宋" w:hAnsi="仿宋" w:eastAsia="仿宋" w:cs="仿宋"/>
          <w:color w:val="000000"/>
          <w:sz w:val="32"/>
          <w:szCs w:val="32"/>
          <w:lang w:val="en-US" w:eastAsia="zh-CN"/>
        </w:rPr>
        <w:t>补助 10</w:t>
      </w:r>
      <w:r>
        <w:rPr>
          <w:rFonts w:hint="eastAsia" w:ascii="仿宋" w:hAnsi="仿宋" w:eastAsia="仿宋" w:cs="仿宋"/>
          <w:color w:val="000000"/>
          <w:sz w:val="32"/>
          <w:szCs w:val="32"/>
        </w:rPr>
        <w:t>户</w:t>
      </w: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人次，</w:t>
      </w:r>
      <w:r>
        <w:rPr>
          <w:rFonts w:hint="eastAsia" w:ascii="仿宋" w:hAnsi="仿宋" w:eastAsia="仿宋" w:cs="仿宋"/>
          <w:color w:val="000000"/>
          <w:sz w:val="32"/>
          <w:szCs w:val="32"/>
          <w:lang w:val="en-US" w:eastAsia="zh-CN"/>
        </w:rPr>
        <w:t>金额按标准发放到位</w:t>
      </w:r>
      <w:r>
        <w:rPr>
          <w:rFonts w:hint="eastAsia" w:ascii="仿宋_GB2312" w:hAnsi="仿宋_GB2312" w:eastAsia="仿宋_GB2312" w:cs="仿宋_GB2312"/>
          <w:sz w:val="32"/>
          <w:szCs w:val="32"/>
          <w:lang w:val="en-US" w:eastAsia="zh-CN"/>
        </w:rPr>
        <w:t xml:space="preserve"> </w:t>
      </w:r>
      <w:r>
        <w:rPr>
          <w:rFonts w:hint="eastAsia" w:ascii="仿宋" w:hAnsi="仿宋" w:eastAsia="仿宋" w:cs="仿宋"/>
          <w:color w:val="000000"/>
          <w:sz w:val="32"/>
          <w:szCs w:val="32"/>
        </w:rPr>
        <w:t>。</w:t>
      </w:r>
    </w:p>
    <w:p w14:paraId="1ADBEB06">
      <w:pPr>
        <w:spacing w:line="560" w:lineRule="exact"/>
        <w:ind w:left="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 xml:space="preserve"> 五、主要经验及做法、存在的问题及原因分析</w:t>
      </w:r>
    </w:p>
    <w:p w14:paraId="512DAD3C">
      <w:pPr>
        <w:spacing w:line="560" w:lineRule="exact"/>
        <w:ind w:left="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
          <w:sz w:val="32"/>
          <w:szCs w:val="32"/>
        </w:rPr>
        <w:t>财务制度够完善，资产管理严谨，绩效资金使用规范完整，专款专用，资金有时能</w:t>
      </w:r>
      <w:r>
        <w:rPr>
          <w:rFonts w:hint="eastAsia" w:ascii="仿宋" w:hAnsi="仿宋" w:eastAsia="仿宋" w:cs="仿宋"/>
          <w:sz w:val="32"/>
          <w:szCs w:val="32"/>
          <w:lang w:val="en-US" w:eastAsia="zh-CN"/>
        </w:rPr>
        <w:t>按月</w:t>
      </w:r>
      <w:r>
        <w:rPr>
          <w:rFonts w:hint="eastAsia" w:ascii="仿宋" w:hAnsi="仿宋" w:eastAsia="仿宋" w:cs="仿宋"/>
          <w:sz w:val="32"/>
          <w:szCs w:val="32"/>
        </w:rPr>
        <w:t>按时到位。</w:t>
      </w:r>
    </w:p>
    <w:p w14:paraId="4DA3645C">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 xml:space="preserve">     </w:t>
      </w:r>
    </w:p>
    <w:p w14:paraId="26BB94A1">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六、有关建议</w:t>
      </w:r>
    </w:p>
    <w:p w14:paraId="4C972797">
      <w:pPr>
        <w:spacing w:line="580" w:lineRule="exact"/>
        <w:ind w:firstLine="1280" w:firstLineChars="400"/>
        <w:rPr>
          <w:rFonts w:hint="eastAsia" w:ascii="仿宋" w:hAnsi="仿宋" w:eastAsia="仿宋" w:cs="仿宋"/>
          <w:sz w:val="32"/>
          <w:szCs w:val="32"/>
        </w:rPr>
      </w:pPr>
      <w:r>
        <w:rPr>
          <w:rFonts w:hint="eastAsia" w:ascii="仿宋" w:hAnsi="仿宋" w:eastAsia="仿宋" w:cs="仿宋"/>
          <w:sz w:val="32"/>
          <w:szCs w:val="32"/>
        </w:rPr>
        <w:t>无</w:t>
      </w:r>
    </w:p>
    <w:p w14:paraId="393D6327">
      <w:pPr>
        <w:spacing w:line="580" w:lineRule="exact"/>
        <w:ind w:firstLine="643" w:firstLineChars="200"/>
        <w:rPr>
          <w:rFonts w:hint="eastAsia" w:ascii="仿宋" w:hAnsi="仿宋" w:eastAsia="仿宋" w:cs="仿宋"/>
          <w:b/>
          <w:color w:val="333333"/>
          <w:sz w:val="32"/>
          <w:szCs w:val="32"/>
          <w:shd w:val="clear" w:color="auto" w:fill="FFFFFF"/>
        </w:rPr>
      </w:pPr>
      <w:r>
        <w:rPr>
          <w:rFonts w:hint="eastAsia" w:ascii="仿宋" w:hAnsi="仿宋" w:eastAsia="仿宋" w:cs="仿宋"/>
          <w:b/>
          <w:color w:val="333333"/>
          <w:sz w:val="32"/>
          <w:szCs w:val="32"/>
          <w:shd w:val="clear" w:color="auto" w:fill="FFFFFF"/>
        </w:rPr>
        <w:t>七、其他需要说明的问题</w:t>
      </w:r>
    </w:p>
    <w:p w14:paraId="5AAC1EEB">
      <w:pPr>
        <w:spacing w:line="58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津贴补贴人员是公务员身份的工作人员已纳入工资统发，值班津贴根据文件要求单位单独发津贴。</w:t>
      </w:r>
      <w:r>
        <w:rPr>
          <w:rFonts w:hint="eastAsia" w:ascii="仿宋_GB2312" w:hAnsi="仿宋_GB2312" w:eastAsia="仿宋_GB2312" w:cs="仿宋_GB2312"/>
          <w:b w:val="0"/>
          <w:bCs w:val="0"/>
          <w:sz w:val="32"/>
          <w:szCs w:val="32"/>
          <w:lang w:val="en-US" w:eastAsia="zh-CN"/>
        </w:rPr>
        <w:t>2024年剩余7.70998万元指标财政预算股已收回。</w:t>
      </w:r>
      <w:bookmarkStart w:id="0" w:name="_GoBack"/>
      <w:bookmarkEnd w:id="0"/>
    </w:p>
    <w:p w14:paraId="788C1D38">
      <w:pPr>
        <w:rPr>
          <w:rFonts w:hint="eastAsia" w:ascii="仿宋" w:hAnsi="仿宋" w:eastAsia="仿宋" w:cs="仿宋"/>
          <w:sz w:val="32"/>
          <w:szCs w:val="32"/>
        </w:rPr>
      </w:pPr>
    </w:p>
    <w:p w14:paraId="3A09FE72">
      <w:pPr>
        <w:rPr>
          <w:rFonts w:hint="eastAsia" w:ascii="仿宋" w:hAnsi="仿宋" w:eastAsia="仿宋" w:cs="仿宋"/>
          <w:sz w:val="32"/>
          <w:szCs w:val="32"/>
        </w:rPr>
      </w:pPr>
      <w:r>
        <w:rPr>
          <w:rFonts w:hint="eastAsia" w:ascii="仿宋" w:hAnsi="仿宋" w:eastAsia="仿宋" w:cs="仿宋"/>
          <w:sz w:val="32"/>
          <w:szCs w:val="32"/>
        </w:rPr>
        <w:t xml:space="preserve">                                                                    </w:t>
      </w:r>
    </w:p>
    <w:p w14:paraId="649D890D">
      <w:pPr>
        <w:ind w:firstLine="640" w:firstLineChars="200"/>
        <w:rPr>
          <w:rFonts w:hint="eastAsia" w:ascii="宋体" w:hAnsi="宋体" w:cs="宋体"/>
          <w:sz w:val="36"/>
          <w:szCs w:val="36"/>
        </w:rPr>
      </w:pPr>
      <w:r>
        <w:rPr>
          <w:rFonts w:hint="eastAsia" w:ascii="仿宋" w:hAnsi="仿宋" w:eastAsia="仿宋" w:cs="仿宋"/>
          <w:sz w:val="32"/>
          <w:szCs w:val="32"/>
        </w:rPr>
        <w:t>项目单位（签）               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19</w:t>
      </w:r>
      <w:r>
        <w:rPr>
          <w:rFonts w:hint="eastAsia" w:ascii="仿宋" w:hAnsi="仿宋" w:eastAsia="仿宋" w:cs="仿宋"/>
          <w:sz w:val="32"/>
          <w:szCs w:val="32"/>
        </w:rPr>
        <w:t>日</w:t>
      </w:r>
    </w:p>
    <w:p w14:paraId="1B9AA05D">
      <w:pPr>
        <w:pStyle w:val="2"/>
        <w:widowControl w:val="0"/>
        <w:spacing w:before="0" w:beforeAutospacing="0" w:after="0" w:afterAutospacing="0" w:line="520" w:lineRule="exact"/>
        <w:rPr>
          <w:rFonts w:hint="eastAsia"/>
          <w:sz w:val="36"/>
          <w:szCs w:val="36"/>
        </w:rPr>
      </w:pPr>
    </w:p>
    <w:p w14:paraId="08EE4507">
      <w:pPr>
        <w:rPr>
          <w:rFonts w:hint="eastAsia" w:ascii="宋体" w:hAnsi="宋体" w:cs="宋体"/>
          <w:sz w:val="36"/>
          <w:szCs w:val="36"/>
        </w:rPr>
      </w:pPr>
    </w:p>
    <w:p w14:paraId="6940658A">
      <w:pPr>
        <w:spacing w:line="400" w:lineRule="exact"/>
        <w:jc w:val="left"/>
        <w:rPr>
          <w:rFonts w:eastAsia="仿宋_GB2312"/>
          <w:sz w:val="24"/>
        </w:rPr>
      </w:pPr>
    </w:p>
    <w:p w14:paraId="79B82CD2"/>
    <w:p w14:paraId="03D74CC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2FFF5E5E"/>
    <w:rsid w:val="07B85DC9"/>
    <w:rsid w:val="12163A2B"/>
    <w:rsid w:val="14F407F6"/>
    <w:rsid w:val="1B1E4478"/>
    <w:rsid w:val="1B8B0EFA"/>
    <w:rsid w:val="2FFF5E5E"/>
    <w:rsid w:val="45CD7C52"/>
    <w:rsid w:val="590634F4"/>
    <w:rsid w:val="646B6247"/>
    <w:rsid w:val="6758536B"/>
    <w:rsid w:val="69F75C91"/>
    <w:rsid w:val="70C97608"/>
    <w:rsid w:val="71B03E40"/>
    <w:rsid w:val="79F43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2185</Words>
  <Characters>2383</Characters>
  <Lines>0</Lines>
  <Paragraphs>0</Paragraphs>
  <TotalTime>2</TotalTime>
  <ScaleCrop>false</ScaleCrop>
  <LinksUpToDate>false</LinksUpToDate>
  <CharactersWithSpaces>2605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2024-04-09T00:23:00Z</dcterms:created>
  <dc:creator>6105</dc:creator>
  <cp:lastModifiedBy>3508</cp:lastModifiedBy>
  <dcterms:modified xsi:type="dcterms:W3CDTF">2025-03-19T03:13:11Z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10AC680C29844646A76B46460D6D72E9_11</vt:lpwstr>
  </property>
  <property fmtid="{D5CDD505-2E9C-101B-9397-08002B2CF9AE}" pid="4" name="KSOTemplateDocerSaveRecord">
    <vt:lpwstr>eyJoZGlkIjoiZmZlNmI3YjcxYTM4YTVhYzE4YTIzM2VmZWFkYTIwZTYiLCJ1c2VySWQiOiIxMTQ4MTU0MDM4In0=</vt:lpwstr>
  </property>
</Properties>
</file>